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9A" w:rsidRDefault="00C33774">
      <w:pPr>
        <w:ind w:firstLineChars="900" w:firstLine="3240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学校安全风险隐患排查整治自查情况登记表</w:t>
      </w:r>
    </w:p>
    <w:p w:rsidR="0091749A" w:rsidRDefault="00C33774">
      <w:pPr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直属党支部名称：通识教育学部直属党支部</w:t>
      </w: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>排查日期：</w:t>
      </w:r>
      <w:r>
        <w:rPr>
          <w:sz w:val="24"/>
          <w:u w:val="single"/>
        </w:rPr>
        <w:t>2024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>4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>3</w:t>
      </w:r>
      <w:r>
        <w:rPr>
          <w:rFonts w:hint="eastAsia"/>
          <w:sz w:val="24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3"/>
        <w:gridCol w:w="1567"/>
        <w:gridCol w:w="1541"/>
        <w:gridCol w:w="1218"/>
        <w:gridCol w:w="625"/>
        <w:gridCol w:w="708"/>
        <w:gridCol w:w="1843"/>
        <w:gridCol w:w="992"/>
        <w:gridCol w:w="1843"/>
        <w:gridCol w:w="709"/>
        <w:gridCol w:w="1134"/>
        <w:gridCol w:w="1134"/>
      </w:tblGrid>
      <w:tr w:rsidR="0091749A">
        <w:trPr>
          <w:trHeight w:val="193"/>
          <w:tblHeader/>
        </w:trPr>
        <w:tc>
          <w:tcPr>
            <w:tcW w:w="2140" w:type="dxa"/>
            <w:gridSpan w:val="2"/>
            <w:vAlign w:val="center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排查项目及内容</w:t>
            </w:r>
          </w:p>
        </w:tc>
        <w:tc>
          <w:tcPr>
            <w:tcW w:w="1541" w:type="dxa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二级目录</w:t>
            </w:r>
          </w:p>
        </w:tc>
        <w:tc>
          <w:tcPr>
            <w:tcW w:w="1218" w:type="dxa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支撑材料</w:t>
            </w:r>
          </w:p>
        </w:tc>
        <w:tc>
          <w:tcPr>
            <w:tcW w:w="1333" w:type="dxa"/>
            <w:gridSpan w:val="2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自查情况</w:t>
            </w:r>
          </w:p>
        </w:tc>
        <w:tc>
          <w:tcPr>
            <w:tcW w:w="1843" w:type="dxa"/>
            <w:vAlign w:val="center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存在的安全风险隐患（要求风险隐患描述具体清晰）</w:t>
            </w:r>
          </w:p>
        </w:tc>
        <w:tc>
          <w:tcPr>
            <w:tcW w:w="992" w:type="dxa"/>
            <w:vAlign w:val="center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排查人</w:t>
            </w:r>
          </w:p>
        </w:tc>
        <w:tc>
          <w:tcPr>
            <w:tcW w:w="1843" w:type="dxa"/>
            <w:vAlign w:val="center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整改措施（要求措施具体切实可行）</w:t>
            </w:r>
          </w:p>
        </w:tc>
        <w:tc>
          <w:tcPr>
            <w:tcW w:w="709" w:type="dxa"/>
            <w:vAlign w:val="center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整改期限</w:t>
            </w:r>
          </w:p>
        </w:tc>
        <w:tc>
          <w:tcPr>
            <w:tcW w:w="1134" w:type="dxa"/>
            <w:vAlign w:val="center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整改完成时间</w:t>
            </w:r>
          </w:p>
        </w:tc>
        <w:tc>
          <w:tcPr>
            <w:tcW w:w="1134" w:type="dxa"/>
            <w:vAlign w:val="center"/>
          </w:tcPr>
          <w:p w:rsidR="0091749A" w:rsidRDefault="00C33774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责任人</w:t>
            </w:r>
          </w:p>
        </w:tc>
      </w:tr>
      <w:tr w:rsidR="0091749A">
        <w:trPr>
          <w:trHeight w:val="1059"/>
        </w:trPr>
        <w:tc>
          <w:tcPr>
            <w:tcW w:w="573" w:type="dxa"/>
            <w:vMerge w:val="restart"/>
            <w:vAlign w:val="center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1.</w:t>
            </w:r>
            <w:r>
              <w:rPr>
                <w:rFonts w:hint="eastAsia"/>
                <w:kern w:val="0"/>
                <w:sz w:val="20"/>
              </w:rPr>
              <w:t>安全责任体系</w:t>
            </w:r>
          </w:p>
        </w:tc>
        <w:tc>
          <w:tcPr>
            <w:tcW w:w="1567" w:type="dxa"/>
            <w:vMerge w:val="restart"/>
            <w:vAlign w:val="center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1.</w:t>
            </w:r>
            <w:r>
              <w:rPr>
                <w:rFonts w:hint="eastAsia"/>
                <w:kern w:val="0"/>
                <w:sz w:val="20"/>
              </w:rPr>
              <w:t>压实安全责任</w:t>
            </w: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是否建立安全责任体系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网格</w:t>
            </w:r>
            <w:proofErr w:type="gramStart"/>
            <w:r>
              <w:rPr>
                <w:rFonts w:hint="eastAsia"/>
                <w:kern w:val="0"/>
                <w:sz w:val="20"/>
              </w:rPr>
              <w:t>化安全</w:t>
            </w:r>
            <w:proofErr w:type="gramEnd"/>
            <w:r>
              <w:rPr>
                <w:rFonts w:hint="eastAsia"/>
                <w:kern w:val="0"/>
                <w:sz w:val="20"/>
              </w:rPr>
              <w:t>责任表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1059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是否明确安全责任人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责任人上墙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1059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工作职责是否健全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实训、工作室类</w:t>
            </w:r>
            <w:proofErr w:type="gramStart"/>
            <w:r>
              <w:rPr>
                <w:rFonts w:hint="eastAsia"/>
                <w:kern w:val="0"/>
                <w:sz w:val="20"/>
              </w:rPr>
              <w:t>须工作</w:t>
            </w:r>
            <w:proofErr w:type="gramEnd"/>
            <w:r>
              <w:rPr>
                <w:rFonts w:hint="eastAsia"/>
                <w:kern w:val="0"/>
                <w:sz w:val="20"/>
              </w:rPr>
              <w:t>职责上墙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1059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是否建立各级安全责任清单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文件或会议记录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981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是否定期开展</w:t>
            </w:r>
            <w:r>
              <w:rPr>
                <w:kern w:val="0"/>
                <w:sz w:val="20"/>
              </w:rPr>
              <w:t>安全风险</w:t>
            </w:r>
            <w:proofErr w:type="gramStart"/>
            <w:r>
              <w:rPr>
                <w:kern w:val="0"/>
                <w:sz w:val="20"/>
              </w:rPr>
              <w:t>研</w:t>
            </w:r>
            <w:proofErr w:type="gramEnd"/>
            <w:r>
              <w:rPr>
                <w:kern w:val="0"/>
                <w:sz w:val="20"/>
              </w:rPr>
              <w:t>判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文件或会议记录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981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重要时间、敏感节点是否安排领导值班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值班表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1312"/>
        </w:trPr>
        <w:tc>
          <w:tcPr>
            <w:tcW w:w="573" w:type="dxa"/>
            <w:vMerge w:val="restart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2.</w:t>
            </w:r>
            <w:r>
              <w:rPr>
                <w:rFonts w:hint="eastAsia"/>
                <w:kern w:val="0"/>
                <w:sz w:val="20"/>
              </w:rPr>
              <w:t>安全教育</w:t>
            </w:r>
          </w:p>
        </w:tc>
        <w:tc>
          <w:tcPr>
            <w:tcW w:w="1567" w:type="dxa"/>
            <w:vMerge w:val="restart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 xml:space="preserve">. </w:t>
            </w:r>
            <w:r>
              <w:rPr>
                <w:rFonts w:hint="eastAsia"/>
                <w:kern w:val="0"/>
                <w:sz w:val="20"/>
              </w:rPr>
              <w:t>安全教育开展</w:t>
            </w: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</w:t>
            </w:r>
            <w:r>
              <w:rPr>
                <w:kern w:val="0"/>
                <w:sz w:val="20"/>
              </w:rPr>
              <w:t>开展</w:t>
            </w:r>
            <w:r>
              <w:rPr>
                <w:rFonts w:hint="eastAsia"/>
                <w:kern w:val="0"/>
                <w:sz w:val="20"/>
              </w:rPr>
              <w:t>实验</w:t>
            </w:r>
            <w:r>
              <w:rPr>
                <w:kern w:val="0"/>
                <w:sz w:val="20"/>
              </w:rPr>
              <w:t>室</w:t>
            </w:r>
            <w:r>
              <w:rPr>
                <w:rFonts w:hint="eastAsia"/>
                <w:kern w:val="0"/>
                <w:sz w:val="20"/>
              </w:rPr>
              <w:t>、危化品</w:t>
            </w:r>
            <w:r>
              <w:rPr>
                <w:kern w:val="0"/>
                <w:sz w:val="20"/>
              </w:rPr>
              <w:t>、消防、</w:t>
            </w:r>
            <w:r>
              <w:rPr>
                <w:rFonts w:hint="eastAsia"/>
                <w:kern w:val="0"/>
                <w:sz w:val="20"/>
              </w:rPr>
              <w:t>国家安全、治安防范、</w:t>
            </w:r>
            <w:r>
              <w:rPr>
                <w:kern w:val="0"/>
                <w:sz w:val="20"/>
              </w:rPr>
              <w:t>交通、</w:t>
            </w:r>
            <w:r>
              <w:rPr>
                <w:rFonts w:hint="eastAsia"/>
                <w:kern w:val="0"/>
                <w:sz w:val="20"/>
              </w:rPr>
              <w:t>食品</w:t>
            </w:r>
            <w:r>
              <w:rPr>
                <w:kern w:val="0"/>
                <w:sz w:val="20"/>
              </w:rPr>
              <w:t>等</w:t>
            </w:r>
            <w:r>
              <w:rPr>
                <w:rFonts w:hint="eastAsia"/>
                <w:kern w:val="0"/>
                <w:sz w:val="20"/>
              </w:rPr>
              <w:t>安全教育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安全教育、安全宣传、安全教育活动方案、图片、报导（包括主题班会）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193"/>
        </w:trPr>
        <w:tc>
          <w:tcPr>
            <w:tcW w:w="573" w:type="dxa"/>
            <w:vMerge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是否有针对性开展防范电信诈骗专项安全教育</w:t>
            </w:r>
          </w:p>
        </w:tc>
        <w:tc>
          <w:tcPr>
            <w:tcW w:w="121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教育、宣传、活动的方案、图片、报导（包括主题班会）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193"/>
        </w:trPr>
        <w:tc>
          <w:tcPr>
            <w:tcW w:w="573" w:type="dxa"/>
            <w:vMerge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是否有常态化安全教育制度、机制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常态化安全教育制度、机制文件（会议记录）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193"/>
        </w:trPr>
        <w:tc>
          <w:tcPr>
            <w:tcW w:w="573" w:type="dxa"/>
            <w:vMerge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</w:tcPr>
          <w:p w:rsidR="0091749A" w:rsidRDefault="0091749A">
            <w:pPr>
              <w:rPr>
                <w:szCs w:val="22"/>
              </w:rPr>
            </w:pPr>
          </w:p>
        </w:tc>
        <w:tc>
          <w:tcPr>
            <w:tcW w:w="1541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是否定期开展应急演练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演练的方案、图片、报导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 w:val="restart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</w:t>
            </w:r>
            <w:r>
              <w:rPr>
                <w:rFonts w:hint="eastAsia"/>
                <w:kern w:val="0"/>
                <w:sz w:val="20"/>
              </w:rPr>
              <w:t>隐患排查</w:t>
            </w:r>
          </w:p>
        </w:tc>
        <w:tc>
          <w:tcPr>
            <w:tcW w:w="1567" w:type="dxa"/>
            <w:vMerge w:val="restart"/>
            <w:vAlign w:val="center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环境</w:t>
            </w: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区域内秩序是否井然</w:t>
            </w:r>
            <w:r>
              <w:rPr>
                <w:rFonts w:hint="eastAsia"/>
                <w:kern w:val="0"/>
                <w:sz w:val="20"/>
              </w:rPr>
              <w:t>有序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区域内宣传环境是否正常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区域内是否存在乱堆乱放杂物或其它设备情况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区域内门窗是否安全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区域内安全设施是否完好（包括监控摄像头）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区域内外挂空调以及其它外挂设备是否安全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区域内</w:t>
            </w:r>
            <w:r>
              <w:rPr>
                <w:rFonts w:hint="eastAsia"/>
                <w:kern w:val="0"/>
                <w:sz w:val="20"/>
              </w:rPr>
              <w:t>建筑物</w:t>
            </w:r>
            <w:r>
              <w:rPr>
                <w:kern w:val="0"/>
                <w:sz w:val="20"/>
              </w:rPr>
              <w:t>是否完好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  <w:r>
              <w:rPr>
                <w:rFonts w:hint="eastAsia"/>
                <w:kern w:val="0"/>
                <w:sz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消防</w:t>
            </w: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消防安全提醒标志是否完善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消防设备是否按要求配齐、完好、有效、可用（灭火器、水带、烟感、灭火沙、指示灯、应急照明灯、报警按钮、报警器、报警电话）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消防设施是否按要求配备、完好、有效、可用（消防水、喷淋、消防泵、喷淋泵、消防门、消防卷帘门）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疏散通道是否畅通（疏散通道是否有堵塞物、逃生门是否常开、是否有逃生指示图）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电：是否存在私拉乱接、电路是否完好、</w:t>
            </w:r>
            <w:proofErr w:type="gramStart"/>
            <w:r>
              <w:rPr>
                <w:rFonts w:hint="eastAsia"/>
                <w:kern w:val="0"/>
                <w:sz w:val="20"/>
              </w:rPr>
              <w:t>开关电箱是否</w:t>
            </w:r>
            <w:proofErr w:type="gramEnd"/>
            <w:r>
              <w:rPr>
                <w:rFonts w:hint="eastAsia"/>
                <w:kern w:val="0"/>
                <w:sz w:val="20"/>
              </w:rPr>
              <w:t>完好、是否按要求使用大功率电器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是否有明火使用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建筑物内是否存在电瓶车充电等违章用电现象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</w:t>
            </w:r>
            <w:r>
              <w:rPr>
                <w:rFonts w:hint="eastAsia"/>
                <w:kern w:val="0"/>
                <w:sz w:val="20"/>
              </w:rPr>
              <w:t>建筑物</w:t>
            </w: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电梯：是否运行完好、定期维保、是否有应急电话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proofErr w:type="gramStart"/>
            <w:r>
              <w:rPr>
                <w:rFonts w:hint="eastAsia"/>
                <w:kern w:val="0"/>
                <w:sz w:val="20"/>
              </w:rPr>
              <w:t>维保记录</w:t>
            </w:r>
            <w:proofErr w:type="gramEnd"/>
            <w:r>
              <w:rPr>
                <w:rFonts w:hint="eastAsia"/>
                <w:kern w:val="0"/>
                <w:sz w:val="20"/>
              </w:rPr>
              <w:t>、图片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是否存在违规搭建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是否存在使用易燃建筑材料搭建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建筑施工是否手续完备、使用电焊等明火是否得到批准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建筑墙体是否存在安全隐患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图片、检查记录表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建筑物是否按要求进行避雷测试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记录表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地下建筑物内排风系统、抽水系统是否完好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记录表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实验（训）室</w:t>
            </w: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管理制度、危险源提示、应急处置方法、通用操作规程等制度是否上墙</w:t>
            </w:r>
          </w:p>
        </w:tc>
        <w:tc>
          <w:tcPr>
            <w:tcW w:w="1218" w:type="dxa"/>
          </w:tcPr>
          <w:p w:rsidR="0091749A" w:rsidRDefault="0091749A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隐患警示：是否针对本实验室安全隐患进行警示提示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警示提示图片、标识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是否开展安全教育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</w:t>
            </w:r>
            <w:proofErr w:type="gramStart"/>
            <w:r>
              <w:rPr>
                <w:rFonts w:hint="eastAsia"/>
                <w:kern w:val="0"/>
                <w:sz w:val="20"/>
              </w:rPr>
              <w:t>账记录</w:t>
            </w:r>
            <w:proofErr w:type="gramEnd"/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环境是否整洁、整齐</w:t>
            </w:r>
          </w:p>
        </w:tc>
        <w:tc>
          <w:tcPr>
            <w:tcW w:w="1218" w:type="dxa"/>
          </w:tcPr>
          <w:p w:rsidR="0091749A" w:rsidRDefault="0091749A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是否按要求划分区域</w:t>
            </w:r>
          </w:p>
        </w:tc>
        <w:tc>
          <w:tcPr>
            <w:tcW w:w="1218" w:type="dxa"/>
          </w:tcPr>
          <w:p w:rsidR="0091749A" w:rsidRDefault="0091749A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</w:t>
            </w:r>
            <w:proofErr w:type="gramStart"/>
            <w:r>
              <w:rPr>
                <w:rFonts w:hint="eastAsia"/>
                <w:kern w:val="0"/>
                <w:sz w:val="20"/>
              </w:rPr>
              <w:t>账记录</w:t>
            </w:r>
            <w:proofErr w:type="gramEnd"/>
            <w:r>
              <w:rPr>
                <w:rFonts w:hint="eastAsia"/>
                <w:kern w:val="0"/>
                <w:sz w:val="20"/>
              </w:rPr>
              <w:t>是否完善、规范</w:t>
            </w:r>
          </w:p>
        </w:tc>
        <w:tc>
          <w:tcPr>
            <w:tcW w:w="1218" w:type="dxa"/>
          </w:tcPr>
          <w:p w:rsidR="0091749A" w:rsidRDefault="0091749A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电线、开关、电箱等设施是否完好</w:t>
            </w:r>
          </w:p>
        </w:tc>
        <w:tc>
          <w:tcPr>
            <w:tcW w:w="1218" w:type="dxa"/>
          </w:tcPr>
          <w:p w:rsidR="0091749A" w:rsidRDefault="0091749A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消防设备是否按要求配齐、完好、有效、可用</w:t>
            </w:r>
          </w:p>
        </w:tc>
        <w:tc>
          <w:tcPr>
            <w:tcW w:w="1218" w:type="dxa"/>
          </w:tcPr>
          <w:p w:rsidR="0091749A" w:rsidRDefault="0091749A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门、窗、建筑物是否完好、是否按要求管理</w:t>
            </w:r>
          </w:p>
        </w:tc>
        <w:tc>
          <w:tcPr>
            <w:tcW w:w="1218" w:type="dxa"/>
          </w:tcPr>
          <w:p w:rsidR="0091749A" w:rsidRDefault="0091749A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实验室设施设备是否完好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实验室设施设备维护、检查制度和台账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是否有高压、气瓶等特种设备并按要求检测和报备，落实防护措施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台账、图片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化学品是否按要求采购、存储、使用、处置，按要求管理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制度、台账、图片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进实验室是否有个人防护与环境保护措施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制度、图片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  <w:tr w:rsidR="0091749A">
        <w:trPr>
          <w:trHeight w:val="660"/>
        </w:trPr>
        <w:tc>
          <w:tcPr>
            <w:tcW w:w="573" w:type="dxa"/>
            <w:vMerge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91749A" w:rsidRDefault="0091749A">
            <w:pPr>
              <w:rPr>
                <w:kern w:val="0"/>
                <w:sz w:val="20"/>
              </w:rPr>
            </w:pPr>
          </w:p>
        </w:tc>
        <w:tc>
          <w:tcPr>
            <w:tcW w:w="1541" w:type="dxa"/>
            <w:vAlign w:val="center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是否开展安全演练</w:t>
            </w:r>
          </w:p>
        </w:tc>
        <w:tc>
          <w:tcPr>
            <w:tcW w:w="1218" w:type="dxa"/>
          </w:tcPr>
          <w:p w:rsidR="0091749A" w:rsidRDefault="00C3377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台账、图片</w:t>
            </w:r>
          </w:p>
        </w:tc>
        <w:tc>
          <w:tcPr>
            <w:tcW w:w="625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</w:t>
            </w:r>
          </w:p>
        </w:tc>
        <w:tc>
          <w:tcPr>
            <w:tcW w:w="708" w:type="dxa"/>
          </w:tcPr>
          <w:p w:rsidR="0091749A" w:rsidRDefault="00C337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否</w:t>
            </w:r>
            <w:r>
              <w:rPr>
                <w:rFonts w:ascii="宋体" w:hAnsi="宋体" w:hint="eastAsia"/>
                <w:kern w:val="0"/>
                <w:sz w:val="20"/>
              </w:rPr>
              <w:t>√</w:t>
            </w: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1749A" w:rsidRDefault="0091749A">
            <w:pPr>
              <w:jc w:val="center"/>
              <w:rPr>
                <w:kern w:val="0"/>
                <w:sz w:val="20"/>
              </w:rPr>
            </w:pPr>
          </w:p>
        </w:tc>
      </w:tr>
    </w:tbl>
    <w:p w:rsidR="0091749A" w:rsidRDefault="00C33774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、后勤食品安全、特种设备（变电房、中水）、学校公共区域（周界道路河道景观）、燃气使用按规定要求自制检查</w:t>
      </w:r>
      <w:proofErr w:type="gramStart"/>
      <w:r>
        <w:rPr>
          <w:rFonts w:hint="eastAsia"/>
        </w:rPr>
        <w:t>表开展</w:t>
      </w:r>
      <w:proofErr w:type="gramEnd"/>
      <w:r>
        <w:rPr>
          <w:rFonts w:hint="eastAsia"/>
        </w:rPr>
        <w:t>检查；</w:t>
      </w:r>
      <w:r>
        <w:rPr>
          <w:rFonts w:hint="eastAsia"/>
        </w:rPr>
        <w:t>2</w:t>
      </w:r>
      <w:r>
        <w:rPr>
          <w:rFonts w:hint="eastAsia"/>
        </w:rPr>
        <w:t>、每月</w:t>
      </w:r>
      <w:r>
        <w:rPr>
          <w:rFonts w:hint="eastAsia"/>
        </w:rPr>
        <w:t>2</w:t>
      </w:r>
      <w:r>
        <w:t>5-28</w:t>
      </w:r>
      <w:r>
        <w:rPr>
          <w:rFonts w:hint="eastAsia"/>
        </w:rPr>
        <w:t>日自查，</w:t>
      </w:r>
      <w:r>
        <w:t>29</w:t>
      </w:r>
      <w:r>
        <w:rPr>
          <w:rFonts w:hint="eastAsia"/>
        </w:rPr>
        <w:t>日通过邮箱（</w:t>
      </w:r>
      <w:proofErr w:type="spellStart"/>
      <w:r>
        <w:t>zxli</w:t>
      </w:r>
      <w:proofErr w:type="spellEnd"/>
      <w:r>
        <w:t xml:space="preserve"> @cztgi.edu.cn</w:t>
      </w:r>
      <w:r>
        <w:rPr>
          <w:rFonts w:hint="eastAsia"/>
        </w:rPr>
        <w:t>）上交表格</w:t>
      </w:r>
      <w:r>
        <w:rPr>
          <w:rFonts w:hint="eastAsia"/>
        </w:rPr>
        <w:t>,</w:t>
      </w:r>
      <w:r>
        <w:t xml:space="preserve"> 30</w:t>
      </w:r>
      <w:r>
        <w:rPr>
          <w:rFonts w:hint="eastAsia"/>
        </w:rPr>
        <w:t>日保卫处（部）组织督查；</w:t>
      </w:r>
      <w:r>
        <w:rPr>
          <w:rFonts w:hint="eastAsia"/>
        </w:rPr>
        <w:t>3</w:t>
      </w:r>
      <w:r>
        <w:rPr>
          <w:rFonts w:hint="eastAsia"/>
        </w:rPr>
        <w:t>、压力容器、气瓶等压力设备及时报备保卫处（部）。</w:t>
      </w:r>
      <w:bookmarkStart w:id="0" w:name="_GoBack"/>
      <w:bookmarkEnd w:id="0"/>
    </w:p>
    <w:sectPr w:rsidR="009174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5MDg4MzhmZjY5NGY1NmExYmY5MmQzNmUxYzA2Y2EifQ=="/>
  </w:docVars>
  <w:rsids>
    <w:rsidRoot w:val="008D77FA"/>
    <w:rsid w:val="00000C90"/>
    <w:rsid w:val="000011EA"/>
    <w:rsid w:val="00005BD5"/>
    <w:rsid w:val="00046BA6"/>
    <w:rsid w:val="0005192C"/>
    <w:rsid w:val="00057BA0"/>
    <w:rsid w:val="00065C76"/>
    <w:rsid w:val="00067FDC"/>
    <w:rsid w:val="000878FC"/>
    <w:rsid w:val="000B4BE4"/>
    <w:rsid w:val="000E0B73"/>
    <w:rsid w:val="0010137E"/>
    <w:rsid w:val="00105534"/>
    <w:rsid w:val="001324E9"/>
    <w:rsid w:val="001360BB"/>
    <w:rsid w:val="00152CE7"/>
    <w:rsid w:val="00156AF6"/>
    <w:rsid w:val="00181E4C"/>
    <w:rsid w:val="001E7DC7"/>
    <w:rsid w:val="0020782D"/>
    <w:rsid w:val="00222472"/>
    <w:rsid w:val="00225E35"/>
    <w:rsid w:val="00287431"/>
    <w:rsid w:val="00292C03"/>
    <w:rsid w:val="002C1A86"/>
    <w:rsid w:val="00321486"/>
    <w:rsid w:val="00330C19"/>
    <w:rsid w:val="00337200"/>
    <w:rsid w:val="003437B7"/>
    <w:rsid w:val="00357856"/>
    <w:rsid w:val="00357B3C"/>
    <w:rsid w:val="00357E55"/>
    <w:rsid w:val="00364E76"/>
    <w:rsid w:val="00382279"/>
    <w:rsid w:val="003A1998"/>
    <w:rsid w:val="003C463C"/>
    <w:rsid w:val="003F39DD"/>
    <w:rsid w:val="00401B17"/>
    <w:rsid w:val="004026A6"/>
    <w:rsid w:val="00407C61"/>
    <w:rsid w:val="00455DC7"/>
    <w:rsid w:val="00465D03"/>
    <w:rsid w:val="004A204A"/>
    <w:rsid w:val="004A3968"/>
    <w:rsid w:val="004A3EEC"/>
    <w:rsid w:val="004F63DB"/>
    <w:rsid w:val="005047E1"/>
    <w:rsid w:val="005121F9"/>
    <w:rsid w:val="005730E6"/>
    <w:rsid w:val="00576026"/>
    <w:rsid w:val="00596FC8"/>
    <w:rsid w:val="005A2607"/>
    <w:rsid w:val="005E5505"/>
    <w:rsid w:val="005F0F37"/>
    <w:rsid w:val="005F2362"/>
    <w:rsid w:val="005F3725"/>
    <w:rsid w:val="00630AB0"/>
    <w:rsid w:val="00656A8E"/>
    <w:rsid w:val="00671861"/>
    <w:rsid w:val="00694C97"/>
    <w:rsid w:val="006A1BAE"/>
    <w:rsid w:val="006A28E4"/>
    <w:rsid w:val="006B053C"/>
    <w:rsid w:val="006C349E"/>
    <w:rsid w:val="006D1874"/>
    <w:rsid w:val="006D325E"/>
    <w:rsid w:val="006F6187"/>
    <w:rsid w:val="007035EC"/>
    <w:rsid w:val="00733788"/>
    <w:rsid w:val="00753DD6"/>
    <w:rsid w:val="00791FCA"/>
    <w:rsid w:val="0079378A"/>
    <w:rsid w:val="00830BC7"/>
    <w:rsid w:val="00836F53"/>
    <w:rsid w:val="00846D99"/>
    <w:rsid w:val="008504A0"/>
    <w:rsid w:val="00852957"/>
    <w:rsid w:val="008538A6"/>
    <w:rsid w:val="0087122E"/>
    <w:rsid w:val="008A053D"/>
    <w:rsid w:val="008A5597"/>
    <w:rsid w:val="008A5599"/>
    <w:rsid w:val="008D4EFD"/>
    <w:rsid w:val="008D77FA"/>
    <w:rsid w:val="008E0553"/>
    <w:rsid w:val="008E44F1"/>
    <w:rsid w:val="008E73CB"/>
    <w:rsid w:val="00910202"/>
    <w:rsid w:val="0091689D"/>
    <w:rsid w:val="0091749A"/>
    <w:rsid w:val="009856CD"/>
    <w:rsid w:val="009A187B"/>
    <w:rsid w:val="009B030A"/>
    <w:rsid w:val="009B7175"/>
    <w:rsid w:val="009C43AF"/>
    <w:rsid w:val="00A07BDE"/>
    <w:rsid w:val="00A3618A"/>
    <w:rsid w:val="00A37006"/>
    <w:rsid w:val="00A50E19"/>
    <w:rsid w:val="00A555D8"/>
    <w:rsid w:val="00A647F0"/>
    <w:rsid w:val="00A71BDC"/>
    <w:rsid w:val="00A849D1"/>
    <w:rsid w:val="00A95C05"/>
    <w:rsid w:val="00AA2A92"/>
    <w:rsid w:val="00AA5C32"/>
    <w:rsid w:val="00AD64EF"/>
    <w:rsid w:val="00AE7755"/>
    <w:rsid w:val="00B047E9"/>
    <w:rsid w:val="00B26C16"/>
    <w:rsid w:val="00B408B3"/>
    <w:rsid w:val="00B7442A"/>
    <w:rsid w:val="00B87CFD"/>
    <w:rsid w:val="00B948FF"/>
    <w:rsid w:val="00B95FFD"/>
    <w:rsid w:val="00BB4219"/>
    <w:rsid w:val="00C06151"/>
    <w:rsid w:val="00C31AC9"/>
    <w:rsid w:val="00C33774"/>
    <w:rsid w:val="00C66F6D"/>
    <w:rsid w:val="00C746AD"/>
    <w:rsid w:val="00C951AF"/>
    <w:rsid w:val="00CB415F"/>
    <w:rsid w:val="00CC6F19"/>
    <w:rsid w:val="00CE2DFD"/>
    <w:rsid w:val="00CE7F4D"/>
    <w:rsid w:val="00D13B79"/>
    <w:rsid w:val="00D14594"/>
    <w:rsid w:val="00D24BE2"/>
    <w:rsid w:val="00D82341"/>
    <w:rsid w:val="00D947CD"/>
    <w:rsid w:val="00DD6CE4"/>
    <w:rsid w:val="00DF2C00"/>
    <w:rsid w:val="00E0100B"/>
    <w:rsid w:val="00E10EF1"/>
    <w:rsid w:val="00E13198"/>
    <w:rsid w:val="00E454E8"/>
    <w:rsid w:val="00E4695E"/>
    <w:rsid w:val="00E50DB2"/>
    <w:rsid w:val="00E551C7"/>
    <w:rsid w:val="00E811DF"/>
    <w:rsid w:val="00E82953"/>
    <w:rsid w:val="00EE4183"/>
    <w:rsid w:val="00EF351D"/>
    <w:rsid w:val="00EF52BD"/>
    <w:rsid w:val="00F04F2B"/>
    <w:rsid w:val="00F053BF"/>
    <w:rsid w:val="00F07856"/>
    <w:rsid w:val="00F76DBC"/>
    <w:rsid w:val="00FC1378"/>
    <w:rsid w:val="00FC5D98"/>
    <w:rsid w:val="00FC6BE0"/>
    <w:rsid w:val="00FF5B68"/>
    <w:rsid w:val="54F24C80"/>
    <w:rsid w:val="5B8938BB"/>
    <w:rsid w:val="787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8055"/>
  <w15:docId w15:val="{0A9B7FF9-C3B6-419F-9EED-6B5A333A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D609-2812-4D3A-A100-AAB6871F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2026-02-28T02:14:00Z</dcterms:created>
  <dcterms:modified xsi:type="dcterms:W3CDTF">2026-02-28T02:14:00Z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0A0BF464A2224076B92C07A7866C15CC_12</vt:lpwstr>
  </property>
</Properties>
</file>