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0868A">
      <w:pPr>
        <w:spacing w:line="360" w:lineRule="auto"/>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常州纺织服装职业技术学院</w:t>
      </w:r>
    </w:p>
    <w:p w14:paraId="255637D9">
      <w:pPr>
        <w:spacing w:line="360" w:lineRule="auto"/>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创意设计学院“技无止境 创新赋能”技能大赛月</w:t>
      </w:r>
    </w:p>
    <w:p w14:paraId="77A93FE5">
      <w:pPr>
        <w:spacing w:line="360" w:lineRule="auto"/>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产品艺术设计专业赛项规程（</w:t>
      </w:r>
      <w:r>
        <w:rPr>
          <w:rFonts w:hint="eastAsia" w:ascii="黑体" w:hAnsi="黑体" w:eastAsia="黑体" w:cs="黑体"/>
          <w:b/>
          <w:bCs/>
          <w:sz w:val="32"/>
          <w:szCs w:val="32"/>
          <w:lang w:val="en-US" w:eastAsia="zh-CN"/>
        </w:rPr>
        <w:t>复</w:t>
      </w:r>
      <w:r>
        <w:rPr>
          <w:rFonts w:hint="eastAsia" w:ascii="黑体" w:hAnsi="黑体" w:eastAsia="黑体" w:cs="黑体"/>
          <w:b/>
          <w:bCs/>
          <w:sz w:val="32"/>
          <w:szCs w:val="32"/>
        </w:rPr>
        <w:t>赛）</w:t>
      </w:r>
    </w:p>
    <w:p w14:paraId="330519A5">
      <w:pPr>
        <w:numPr>
          <w:ilvl w:val="0"/>
          <w:numId w:val="1"/>
        </w:numPr>
        <w:spacing w:line="360" w:lineRule="auto"/>
        <w:rPr>
          <w:b/>
          <w:bCs/>
          <w:sz w:val="28"/>
          <w:szCs w:val="28"/>
        </w:rPr>
      </w:pPr>
      <w:r>
        <w:rPr>
          <w:rFonts w:hint="eastAsia"/>
          <w:b/>
          <w:bCs/>
          <w:sz w:val="28"/>
          <w:szCs w:val="28"/>
        </w:rPr>
        <w:t>竞赛目标</w:t>
      </w:r>
    </w:p>
    <w:p w14:paraId="65B5A68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创意设计学院遵循关于组织开展《常州纺织服装职业技术学院2025年“技无止境 创新赋能”技能大赛月方案活动实施方案》要求和精神，通过初赛、复赛完成技能大赛月主体活动，以学生技能提升和认知转变为主体，以教师的技能拓展与工作精神为辅助，全面推进技能大赛活动，充分体现“以赛促学、以赛促教、以赛促改、以赛促创”的主体目标，为2026年度全国、全省职业院校技能大赛创佳绩打好基础，进一步提升专业教学水平和人才质量培养。</w:t>
      </w:r>
    </w:p>
    <w:p w14:paraId="04C29636">
      <w:pPr>
        <w:numPr>
          <w:ilvl w:val="0"/>
          <w:numId w:val="1"/>
        </w:numPr>
        <w:spacing w:line="360" w:lineRule="auto"/>
        <w:rPr>
          <w:b/>
          <w:bCs/>
          <w:sz w:val="28"/>
          <w:szCs w:val="28"/>
        </w:rPr>
      </w:pPr>
      <w:r>
        <w:rPr>
          <w:rFonts w:hint="eastAsia"/>
          <w:b/>
          <w:bCs/>
          <w:sz w:val="28"/>
          <w:szCs w:val="28"/>
        </w:rPr>
        <w:t>竞赛内容</w:t>
      </w:r>
    </w:p>
    <w:p w14:paraId="64E34EB6">
      <w:pPr>
        <w:spacing w:line="360" w:lineRule="auto"/>
        <w:rPr>
          <w:rFonts w:ascii="仿宋" w:hAnsi="仿宋" w:eastAsia="仿宋" w:cs="仿宋"/>
          <w:sz w:val="28"/>
          <w:szCs w:val="28"/>
        </w:rPr>
      </w:pPr>
      <w:r>
        <w:rPr>
          <w:rFonts w:hint="eastAsia" w:ascii="仿宋" w:hAnsi="仿宋" w:eastAsia="仿宋" w:cs="仿宋"/>
          <w:sz w:val="28"/>
          <w:szCs w:val="28"/>
        </w:rPr>
        <w:t>A组：2024级</w:t>
      </w:r>
    </w:p>
    <w:p w14:paraId="6A860EFA">
      <w:pPr>
        <w:rPr>
          <w:rFonts w:ascii="仿宋" w:hAnsi="仿宋" w:eastAsia="仿宋" w:cs="仿宋"/>
          <w:sz w:val="28"/>
          <w:szCs w:val="28"/>
        </w:rPr>
      </w:pPr>
      <w:r>
        <w:rPr>
          <w:rFonts w:hint="eastAsia" w:ascii="仿宋" w:hAnsi="仿宋" w:eastAsia="仿宋" w:cs="仿宋"/>
          <w:sz w:val="28"/>
          <w:szCs w:val="28"/>
        </w:rPr>
        <w:t>1.大赛题目：欧迪创意红包设计</w:t>
      </w:r>
    </w:p>
    <w:p w14:paraId="33F96EC1">
      <w:pPr>
        <w:rPr>
          <w:rFonts w:ascii="仿宋" w:hAnsi="仿宋" w:eastAsia="仿宋" w:cs="仿宋"/>
          <w:sz w:val="28"/>
          <w:szCs w:val="28"/>
        </w:rPr>
      </w:pPr>
      <w:r>
        <w:rPr>
          <w:rFonts w:hint="eastAsia" w:ascii="仿宋" w:hAnsi="仿宋" w:eastAsia="仿宋" w:cs="仿宋"/>
          <w:sz w:val="28"/>
          <w:szCs w:val="28"/>
        </w:rPr>
        <w:t>2.设计要求：</w:t>
      </w:r>
    </w:p>
    <w:p w14:paraId="031AA51A">
      <w:pPr>
        <w:rPr>
          <w:rFonts w:ascii="仿宋" w:hAnsi="仿宋" w:eastAsia="仿宋" w:cs="仿宋"/>
          <w:sz w:val="28"/>
          <w:szCs w:val="28"/>
        </w:rPr>
      </w:pPr>
      <w:r>
        <w:rPr>
          <w:rFonts w:hint="eastAsia" w:ascii="仿宋" w:hAnsi="仿宋" w:eastAsia="仿宋" w:cs="仿宋"/>
          <w:sz w:val="28"/>
          <w:szCs w:val="28"/>
        </w:rPr>
        <w:t>（1）提交成果形式：二维效果图+1:1红包纸模型；</w:t>
      </w:r>
    </w:p>
    <w:p w14:paraId="303C98C2">
      <w:pPr>
        <w:rPr>
          <w:rFonts w:ascii="仿宋" w:hAnsi="仿宋" w:eastAsia="仿宋" w:cs="仿宋"/>
          <w:sz w:val="28"/>
          <w:szCs w:val="28"/>
        </w:rPr>
      </w:pPr>
      <w:r>
        <w:rPr>
          <w:rFonts w:hint="eastAsia" w:ascii="仿宋" w:hAnsi="仿宋" w:eastAsia="仿宋" w:cs="仿宋"/>
          <w:sz w:val="28"/>
          <w:szCs w:val="28"/>
        </w:rPr>
        <w:t>（2）具有原创性的红包方案，可从红包开启方式、造型、图案等方面进行创新设计；</w:t>
      </w:r>
    </w:p>
    <w:p w14:paraId="1FBD1ACE">
      <w:pPr>
        <w:rPr>
          <w:rFonts w:ascii="仿宋" w:hAnsi="仿宋" w:eastAsia="仿宋" w:cs="仿宋"/>
          <w:sz w:val="28"/>
          <w:szCs w:val="28"/>
        </w:rPr>
      </w:pPr>
      <w:r>
        <w:rPr>
          <w:rFonts w:hint="eastAsia" w:ascii="仿宋" w:hAnsi="仿宋" w:eastAsia="仿宋" w:cs="仿宋"/>
          <w:sz w:val="28"/>
          <w:szCs w:val="28"/>
        </w:rPr>
        <w:t>（3）注重红包的应用场景，</w:t>
      </w:r>
      <w:r>
        <w:rPr>
          <w:rFonts w:ascii="仿宋" w:hAnsi="仿宋" w:eastAsia="仿宋" w:cs="仿宋"/>
          <w:sz w:val="28"/>
          <w:szCs w:val="28"/>
        </w:rPr>
        <w:t>赠送的情境，人生礼仪（出生、升学，结婚、升职，乔迁等），节日等</w:t>
      </w:r>
      <w:r>
        <w:rPr>
          <w:rFonts w:hint="eastAsia" w:ascii="仿宋" w:hAnsi="仿宋" w:eastAsia="仿宋" w:cs="仿宋"/>
          <w:sz w:val="28"/>
          <w:szCs w:val="28"/>
        </w:rPr>
        <w:t>，</w:t>
      </w:r>
      <w:r>
        <w:rPr>
          <w:rFonts w:ascii="仿宋" w:hAnsi="仿宋" w:eastAsia="仿宋" w:cs="仿宋"/>
          <w:sz w:val="28"/>
          <w:szCs w:val="28"/>
        </w:rPr>
        <w:t>可按照设定的情境</w:t>
      </w:r>
      <w:r>
        <w:rPr>
          <w:rFonts w:hint="eastAsia" w:ascii="仿宋" w:hAnsi="仿宋" w:eastAsia="仿宋" w:cs="仿宋"/>
          <w:sz w:val="28"/>
          <w:szCs w:val="28"/>
        </w:rPr>
        <w:t>进行系列化</w:t>
      </w:r>
      <w:r>
        <w:rPr>
          <w:rFonts w:ascii="仿宋" w:hAnsi="仿宋" w:eastAsia="仿宋" w:cs="仿宋"/>
          <w:sz w:val="28"/>
          <w:szCs w:val="28"/>
        </w:rPr>
        <w:t>设计。</w:t>
      </w:r>
    </w:p>
    <w:p w14:paraId="453CD0B4">
      <w:pPr>
        <w:rPr>
          <w:rFonts w:ascii="黑体" w:hAnsi="黑体" w:eastAsia="黑体"/>
          <w:color w:val="000000"/>
          <w:sz w:val="28"/>
          <w:szCs w:val="28"/>
        </w:rPr>
      </w:pPr>
    </w:p>
    <w:p w14:paraId="53D5841D">
      <w:pPr>
        <w:rPr>
          <w:rFonts w:ascii="黑体" w:hAnsi="黑体" w:eastAsia="黑体"/>
          <w:color w:val="000000"/>
          <w:sz w:val="28"/>
          <w:szCs w:val="28"/>
        </w:rPr>
      </w:pPr>
      <w:bookmarkStart w:id="0" w:name="_GoBack"/>
      <w:bookmarkEnd w:id="0"/>
    </w:p>
    <w:p w14:paraId="400D9DCD">
      <w:pPr>
        <w:spacing w:line="360" w:lineRule="auto"/>
        <w:rPr>
          <w:rFonts w:ascii="仿宋" w:hAnsi="仿宋" w:eastAsia="仿宋" w:cs="仿宋"/>
          <w:sz w:val="28"/>
          <w:szCs w:val="28"/>
        </w:rPr>
      </w:pPr>
      <w:r>
        <w:rPr>
          <w:rFonts w:hint="eastAsia" w:ascii="仿宋" w:hAnsi="仿宋" w:eastAsia="仿宋" w:cs="仿宋"/>
          <w:sz w:val="28"/>
          <w:szCs w:val="28"/>
        </w:rPr>
        <w:t>B组：2023级--留青竹刻</w:t>
      </w:r>
      <w:r>
        <w:rPr>
          <w:rFonts w:ascii="仿宋" w:hAnsi="仿宋" w:eastAsia="仿宋" w:cs="仿宋"/>
          <w:sz w:val="28"/>
          <w:szCs w:val="28"/>
        </w:rPr>
        <w:t>—</w:t>
      </w:r>
      <w:r>
        <w:rPr>
          <w:rFonts w:hint="eastAsia" w:ascii="仿宋" w:hAnsi="仿宋" w:eastAsia="仿宋" w:cs="仿宋"/>
          <w:sz w:val="28"/>
          <w:szCs w:val="28"/>
        </w:rPr>
        <w:t>山水写意画</w:t>
      </w:r>
    </w:p>
    <w:tbl>
      <w:tblPr>
        <w:tblStyle w:val="14"/>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6741"/>
      </w:tblGrid>
      <w:tr w14:paraId="6A3D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37D8EED2">
            <w:pPr>
              <w:spacing w:line="360" w:lineRule="auto"/>
              <w:rPr>
                <w:rFonts w:ascii="仿宋" w:hAnsi="仿宋" w:eastAsia="仿宋" w:cs="仿宋"/>
                <w:sz w:val="24"/>
                <w:szCs w:val="24"/>
              </w:rPr>
            </w:pPr>
            <w:r>
              <w:rPr>
                <w:rFonts w:ascii="仿宋" w:hAnsi="仿宋" w:eastAsia="仿宋" w:cs="仿宋"/>
                <w:sz w:val="24"/>
                <w:szCs w:val="24"/>
              </w:rPr>
              <w:t>书画稿设计</w:t>
            </w:r>
          </w:p>
          <w:p w14:paraId="184EADC2">
            <w:pPr>
              <w:spacing w:line="360" w:lineRule="auto"/>
              <w:rPr>
                <w:rFonts w:ascii="仿宋" w:hAnsi="仿宋" w:eastAsia="仿宋" w:cs="仿宋"/>
                <w:sz w:val="24"/>
                <w:szCs w:val="24"/>
              </w:rPr>
            </w:pPr>
            <w:r>
              <w:rPr>
                <w:rFonts w:ascii="仿宋" w:hAnsi="仿宋" w:eastAsia="仿宋" w:cs="仿宋"/>
                <w:sz w:val="24"/>
                <w:szCs w:val="24"/>
              </w:rPr>
              <w:t>（20分）</w:t>
            </w:r>
          </w:p>
        </w:tc>
        <w:tc>
          <w:tcPr>
            <w:tcW w:w="6741" w:type="dxa"/>
          </w:tcPr>
          <w:p w14:paraId="1D6C992F">
            <w:pPr>
              <w:spacing w:line="360" w:lineRule="auto"/>
              <w:rPr>
                <w:rFonts w:ascii="仿宋" w:hAnsi="仿宋" w:eastAsia="仿宋" w:cs="仿宋"/>
                <w:sz w:val="24"/>
                <w:szCs w:val="24"/>
              </w:rPr>
            </w:pPr>
            <w:r>
              <w:rPr>
                <w:rFonts w:ascii="仿宋" w:hAnsi="仿宋" w:eastAsia="仿宋" w:cs="仿宋"/>
                <w:sz w:val="24"/>
                <w:szCs w:val="24"/>
              </w:rPr>
              <w:t>器物选定合理，现场或书或画，按中国书画的要求进行设计。</w:t>
            </w:r>
          </w:p>
        </w:tc>
      </w:tr>
      <w:tr w14:paraId="432F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5255A4DF">
            <w:pPr>
              <w:spacing w:line="360" w:lineRule="auto"/>
              <w:rPr>
                <w:rFonts w:ascii="仿宋" w:hAnsi="仿宋" w:eastAsia="仿宋" w:cs="仿宋"/>
                <w:sz w:val="24"/>
                <w:szCs w:val="24"/>
              </w:rPr>
            </w:pPr>
            <w:r>
              <w:rPr>
                <w:rFonts w:ascii="仿宋" w:hAnsi="仿宋" w:eastAsia="仿宋" w:cs="仿宋"/>
                <w:sz w:val="24"/>
                <w:szCs w:val="24"/>
              </w:rPr>
              <w:t>切边、铲底</w:t>
            </w:r>
          </w:p>
          <w:p w14:paraId="3AA2D6C1">
            <w:pPr>
              <w:spacing w:line="360" w:lineRule="auto"/>
              <w:rPr>
                <w:rFonts w:ascii="仿宋" w:hAnsi="仿宋" w:eastAsia="仿宋" w:cs="仿宋"/>
                <w:sz w:val="24"/>
                <w:szCs w:val="24"/>
              </w:rPr>
            </w:pPr>
            <w:r>
              <w:rPr>
                <w:rFonts w:ascii="仿宋" w:hAnsi="仿宋" w:eastAsia="仿宋" w:cs="仿宋"/>
                <w:sz w:val="24"/>
                <w:szCs w:val="24"/>
              </w:rPr>
              <w:t>（15分）</w:t>
            </w:r>
          </w:p>
          <w:p w14:paraId="1415787E">
            <w:pPr>
              <w:spacing w:line="360" w:lineRule="auto"/>
              <w:rPr>
                <w:rFonts w:ascii="仿宋" w:hAnsi="仿宋" w:eastAsia="仿宋" w:cs="仿宋"/>
                <w:sz w:val="24"/>
                <w:szCs w:val="24"/>
              </w:rPr>
            </w:pPr>
          </w:p>
        </w:tc>
        <w:tc>
          <w:tcPr>
            <w:tcW w:w="6741" w:type="dxa"/>
          </w:tcPr>
          <w:p w14:paraId="16BC2D1A">
            <w:pPr>
              <w:spacing w:line="360" w:lineRule="auto"/>
              <w:rPr>
                <w:rFonts w:ascii="仿宋" w:hAnsi="仿宋" w:eastAsia="仿宋" w:cs="仿宋"/>
                <w:sz w:val="24"/>
                <w:szCs w:val="24"/>
              </w:rPr>
            </w:pPr>
            <w:r>
              <w:rPr>
                <w:rFonts w:ascii="仿宋" w:hAnsi="仿宋" w:eastAsia="仿宋" w:cs="仿宋"/>
                <w:sz w:val="24"/>
                <w:szCs w:val="24"/>
              </w:rPr>
              <w:t>切边是重要一步，为作品的成败初定基础。垂直切划，深度为一层竹青。</w:t>
            </w:r>
          </w:p>
          <w:p w14:paraId="4C1B022E">
            <w:pPr>
              <w:spacing w:line="360" w:lineRule="auto"/>
              <w:rPr>
                <w:rFonts w:ascii="仿宋" w:hAnsi="仿宋" w:eastAsia="仿宋" w:cs="仿宋"/>
                <w:sz w:val="24"/>
                <w:szCs w:val="24"/>
              </w:rPr>
            </w:pPr>
            <w:r>
              <w:rPr>
                <w:rFonts w:ascii="仿宋" w:hAnsi="仿宋" w:eastAsia="仿宋" w:cs="仿宋"/>
                <w:sz w:val="24"/>
                <w:szCs w:val="24"/>
              </w:rPr>
              <w:t>铲去图文以外的竹青，底面平整，底子竹筋基本通直，转弯抹角处和大空白处中间大小空隙深浅一致，形成统一底面。</w:t>
            </w:r>
          </w:p>
        </w:tc>
      </w:tr>
      <w:tr w14:paraId="550D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105B7D73">
            <w:pPr>
              <w:spacing w:line="360" w:lineRule="auto"/>
              <w:rPr>
                <w:rFonts w:ascii="仿宋" w:hAnsi="仿宋" w:eastAsia="仿宋" w:cs="仿宋"/>
                <w:sz w:val="24"/>
                <w:szCs w:val="24"/>
              </w:rPr>
            </w:pPr>
            <w:r>
              <w:rPr>
                <w:rFonts w:ascii="仿宋" w:hAnsi="仿宋" w:eastAsia="仿宋" w:cs="仿宋"/>
                <w:sz w:val="24"/>
                <w:szCs w:val="24"/>
              </w:rPr>
              <w:t>分筠</w:t>
            </w:r>
          </w:p>
          <w:p w14:paraId="20E85136">
            <w:pPr>
              <w:spacing w:line="360" w:lineRule="auto"/>
              <w:rPr>
                <w:rFonts w:ascii="仿宋" w:hAnsi="仿宋" w:eastAsia="仿宋" w:cs="仿宋"/>
                <w:sz w:val="24"/>
                <w:szCs w:val="24"/>
              </w:rPr>
            </w:pPr>
            <w:r>
              <w:rPr>
                <w:rFonts w:ascii="仿宋" w:hAnsi="仿宋" w:eastAsia="仿宋" w:cs="仿宋"/>
                <w:sz w:val="24"/>
                <w:szCs w:val="24"/>
              </w:rPr>
              <w:t>（30分）</w:t>
            </w:r>
          </w:p>
        </w:tc>
        <w:tc>
          <w:tcPr>
            <w:tcW w:w="6741" w:type="dxa"/>
          </w:tcPr>
          <w:p w14:paraId="0B805372">
            <w:pPr>
              <w:spacing w:line="360" w:lineRule="auto"/>
              <w:rPr>
                <w:rFonts w:ascii="仿宋" w:hAnsi="仿宋" w:eastAsia="仿宋" w:cs="仿宋"/>
                <w:sz w:val="24"/>
                <w:szCs w:val="24"/>
              </w:rPr>
            </w:pPr>
            <w:r>
              <w:rPr>
                <w:rFonts w:ascii="仿宋" w:hAnsi="仿宋" w:eastAsia="仿宋" w:cs="仿宋"/>
                <w:sz w:val="24"/>
                <w:szCs w:val="24"/>
              </w:rPr>
              <w:t>核心技术，以刀代笔，在留出的画面上面作墨分五色的分筠效果。</w:t>
            </w:r>
          </w:p>
        </w:tc>
      </w:tr>
      <w:tr w14:paraId="1E5E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133749D0">
            <w:pPr>
              <w:spacing w:line="360" w:lineRule="auto"/>
              <w:rPr>
                <w:rFonts w:ascii="仿宋" w:hAnsi="仿宋" w:eastAsia="仿宋" w:cs="仿宋"/>
                <w:sz w:val="24"/>
                <w:szCs w:val="24"/>
              </w:rPr>
            </w:pPr>
            <w:r>
              <w:rPr>
                <w:rFonts w:ascii="仿宋" w:hAnsi="仿宋" w:eastAsia="仿宋" w:cs="仿宋"/>
                <w:sz w:val="24"/>
                <w:szCs w:val="24"/>
              </w:rPr>
              <w:t>包装设计</w:t>
            </w:r>
          </w:p>
          <w:p w14:paraId="4B176E14">
            <w:pPr>
              <w:spacing w:line="360" w:lineRule="auto"/>
              <w:rPr>
                <w:rFonts w:ascii="仿宋" w:hAnsi="仿宋" w:eastAsia="仿宋" w:cs="仿宋"/>
                <w:sz w:val="24"/>
                <w:szCs w:val="24"/>
              </w:rPr>
            </w:pPr>
            <w:r>
              <w:rPr>
                <w:rFonts w:ascii="仿宋" w:hAnsi="仿宋" w:eastAsia="仿宋" w:cs="仿宋"/>
                <w:sz w:val="24"/>
                <w:szCs w:val="24"/>
              </w:rPr>
              <w:t>（5分）</w:t>
            </w:r>
          </w:p>
        </w:tc>
        <w:tc>
          <w:tcPr>
            <w:tcW w:w="6741" w:type="dxa"/>
          </w:tcPr>
          <w:p w14:paraId="5CE6D3F9">
            <w:pPr>
              <w:spacing w:line="360" w:lineRule="auto"/>
              <w:rPr>
                <w:rFonts w:ascii="仿宋" w:hAnsi="仿宋" w:eastAsia="仿宋" w:cs="仿宋"/>
                <w:sz w:val="24"/>
                <w:szCs w:val="24"/>
              </w:rPr>
            </w:pPr>
            <w:r>
              <w:rPr>
                <w:rFonts w:ascii="仿宋" w:hAnsi="仿宋" w:eastAsia="仿宋" w:cs="仿宋"/>
                <w:sz w:val="24"/>
                <w:szCs w:val="24"/>
              </w:rPr>
              <w:t>包装设计的合理性和美观性。</w:t>
            </w:r>
          </w:p>
        </w:tc>
      </w:tr>
      <w:tr w14:paraId="6072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39F9FAF8">
            <w:pPr>
              <w:spacing w:line="360" w:lineRule="auto"/>
              <w:rPr>
                <w:rFonts w:ascii="仿宋" w:hAnsi="仿宋" w:eastAsia="仿宋" w:cs="仿宋"/>
                <w:sz w:val="24"/>
                <w:szCs w:val="24"/>
              </w:rPr>
            </w:pPr>
            <w:r>
              <w:rPr>
                <w:rFonts w:ascii="仿宋" w:hAnsi="仿宋" w:eastAsia="仿宋" w:cs="仿宋"/>
                <w:sz w:val="24"/>
                <w:szCs w:val="24"/>
              </w:rPr>
              <w:t xml:space="preserve">实际操作技巧 </w:t>
            </w:r>
          </w:p>
          <w:p w14:paraId="461DBC4F">
            <w:pPr>
              <w:spacing w:line="360" w:lineRule="auto"/>
              <w:rPr>
                <w:rFonts w:ascii="仿宋" w:hAnsi="仿宋" w:eastAsia="仿宋" w:cs="仿宋"/>
                <w:sz w:val="24"/>
                <w:szCs w:val="24"/>
              </w:rPr>
            </w:pPr>
            <w:r>
              <w:rPr>
                <w:rFonts w:ascii="仿宋" w:hAnsi="仿宋" w:eastAsia="仿宋" w:cs="仿宋"/>
                <w:sz w:val="24"/>
                <w:szCs w:val="24"/>
              </w:rPr>
              <w:t>（</w:t>
            </w:r>
            <w:r>
              <w:rPr>
                <w:rFonts w:hint="eastAsia" w:ascii="仿宋" w:hAnsi="仿宋" w:eastAsia="仿宋" w:cs="仿宋"/>
                <w:sz w:val="24"/>
                <w:szCs w:val="24"/>
              </w:rPr>
              <w:t>3</w:t>
            </w:r>
            <w:r>
              <w:rPr>
                <w:rFonts w:ascii="仿宋" w:hAnsi="仿宋" w:eastAsia="仿宋" w:cs="仿宋"/>
                <w:sz w:val="24"/>
                <w:szCs w:val="24"/>
              </w:rPr>
              <w:t>0分）</w:t>
            </w:r>
          </w:p>
        </w:tc>
        <w:tc>
          <w:tcPr>
            <w:tcW w:w="6741" w:type="dxa"/>
          </w:tcPr>
          <w:p w14:paraId="7DCDEFB9">
            <w:pPr>
              <w:spacing w:line="360" w:lineRule="auto"/>
              <w:rPr>
                <w:rFonts w:ascii="仿宋" w:hAnsi="仿宋" w:eastAsia="仿宋" w:cs="仿宋"/>
                <w:sz w:val="24"/>
                <w:szCs w:val="24"/>
              </w:rPr>
            </w:pPr>
            <w:r>
              <w:rPr>
                <w:rFonts w:ascii="仿宋" w:hAnsi="仿宋" w:eastAsia="仿宋" w:cs="仿宋"/>
                <w:sz w:val="24"/>
                <w:szCs w:val="24"/>
              </w:rPr>
              <w:t>系统掌握留青竹刻工艺流程的能力。熟练掌握切边、铲底、分筠等操作。熟练运用各种刀法。具备图案使用和设计创作的能力。</w:t>
            </w:r>
          </w:p>
        </w:tc>
      </w:tr>
    </w:tbl>
    <w:p w14:paraId="426B5E45">
      <w:pPr>
        <w:rPr>
          <w:rFonts w:ascii="黑体" w:hAnsi="黑体" w:eastAsia="黑体"/>
          <w:color w:val="000000"/>
          <w:sz w:val="24"/>
          <w:szCs w:val="24"/>
        </w:rPr>
      </w:pPr>
    </w:p>
    <w:p w14:paraId="0D2F4C12">
      <w:pPr>
        <w:spacing w:line="360" w:lineRule="auto"/>
        <w:rPr>
          <w:b/>
          <w:bCs/>
          <w:sz w:val="24"/>
          <w:szCs w:val="24"/>
        </w:rPr>
      </w:pPr>
    </w:p>
    <w:p w14:paraId="61167A31">
      <w:pPr>
        <w:numPr>
          <w:ilvl w:val="0"/>
          <w:numId w:val="1"/>
        </w:numPr>
        <w:spacing w:line="360" w:lineRule="auto"/>
        <w:rPr>
          <w:b/>
          <w:bCs/>
          <w:sz w:val="28"/>
          <w:szCs w:val="28"/>
        </w:rPr>
      </w:pPr>
      <w:r>
        <w:rPr>
          <w:rFonts w:hint="eastAsia"/>
          <w:b/>
          <w:bCs/>
          <w:sz w:val="28"/>
          <w:szCs w:val="28"/>
        </w:rPr>
        <w:t>竞赛方式</w:t>
      </w:r>
    </w:p>
    <w:p w14:paraId="26932037">
      <w:pPr>
        <w:spacing w:line="360" w:lineRule="auto"/>
        <w:ind w:firstLine="280" w:firstLineChars="100"/>
        <w:rPr>
          <w:rFonts w:ascii="仿宋" w:hAnsi="仿宋" w:eastAsia="仿宋" w:cs="仿宋"/>
          <w:sz w:val="28"/>
          <w:szCs w:val="28"/>
        </w:rPr>
      </w:pPr>
      <w:r>
        <w:rPr>
          <w:rFonts w:hint="eastAsia" w:ascii="仿宋" w:hAnsi="仿宋" w:eastAsia="仿宋" w:cs="仿宋"/>
          <w:sz w:val="28"/>
          <w:szCs w:val="28"/>
        </w:rPr>
        <w:t>决赛，线下在考场创作。</w:t>
      </w:r>
    </w:p>
    <w:p w14:paraId="7547A35C">
      <w:pPr>
        <w:spacing w:line="360" w:lineRule="auto"/>
        <w:ind w:firstLine="280" w:firstLineChars="100"/>
        <w:rPr>
          <w:rFonts w:ascii="仿宋" w:hAnsi="仿宋" w:eastAsia="仿宋" w:cs="仿宋"/>
          <w:sz w:val="28"/>
          <w:szCs w:val="28"/>
        </w:rPr>
      </w:pPr>
      <w:r>
        <w:rPr>
          <w:rFonts w:hint="eastAsia" w:ascii="仿宋" w:hAnsi="仿宋" w:eastAsia="仿宋" w:cs="仿宋"/>
          <w:sz w:val="28"/>
          <w:szCs w:val="28"/>
        </w:rPr>
        <w:t>按照A、B组别，由产品艺术设计专业教师团队组织在初赛中表现优异，排名前20位的选手参与。</w:t>
      </w:r>
    </w:p>
    <w:p w14:paraId="1ABEC572">
      <w:pPr>
        <w:spacing w:line="360" w:lineRule="auto"/>
        <w:ind w:firstLine="280" w:firstLineChars="100"/>
        <w:rPr>
          <w:rFonts w:ascii="仿宋" w:hAnsi="仿宋" w:eastAsia="仿宋" w:cs="仿宋"/>
          <w:sz w:val="28"/>
          <w:szCs w:val="28"/>
        </w:rPr>
      </w:pPr>
      <w:r>
        <w:rPr>
          <w:rFonts w:hint="eastAsia" w:ascii="仿宋" w:hAnsi="仿宋" w:eastAsia="仿宋" w:cs="仿宋"/>
          <w:sz w:val="28"/>
          <w:szCs w:val="28"/>
        </w:rPr>
        <w:t>按照两组的决赛要求，安排2位老师监考。</w:t>
      </w:r>
    </w:p>
    <w:p w14:paraId="1D633EE4">
      <w:pPr>
        <w:numPr>
          <w:ilvl w:val="0"/>
          <w:numId w:val="1"/>
        </w:numPr>
        <w:spacing w:line="360" w:lineRule="auto"/>
        <w:rPr>
          <w:b/>
          <w:bCs/>
          <w:sz w:val="28"/>
          <w:szCs w:val="28"/>
        </w:rPr>
      </w:pPr>
      <w:r>
        <w:rPr>
          <w:rFonts w:hint="eastAsia"/>
          <w:b/>
          <w:bCs/>
          <w:sz w:val="28"/>
          <w:szCs w:val="28"/>
        </w:rPr>
        <w:t>竞赛流程（时间和地点）</w:t>
      </w:r>
    </w:p>
    <w:p w14:paraId="0370601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5月30日，A组在8119，B组在7302，学生自带比赛用具。</w:t>
      </w:r>
    </w:p>
    <w:p w14:paraId="0923DD41">
      <w:pPr>
        <w:numPr>
          <w:ilvl w:val="0"/>
          <w:numId w:val="1"/>
        </w:numPr>
        <w:spacing w:line="360" w:lineRule="auto"/>
        <w:rPr>
          <w:b/>
          <w:bCs/>
          <w:sz w:val="28"/>
          <w:szCs w:val="28"/>
        </w:rPr>
      </w:pPr>
      <w:r>
        <w:rPr>
          <w:rFonts w:hint="eastAsia"/>
          <w:b/>
          <w:bCs/>
          <w:sz w:val="28"/>
          <w:szCs w:val="28"/>
        </w:rPr>
        <w:t>竞赛规则</w:t>
      </w:r>
    </w:p>
    <w:p w14:paraId="3FEBBA3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1、参赛作品应符合法律法规及国家方针政策，符合社会主义核心价值观，积极健康，主题明确。</w:t>
      </w:r>
    </w:p>
    <w:p w14:paraId="515495C5">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2、参赛作品应紧扣主题要求，具有创新性和趣味性，作品内容健康、思想内涵丰富、价值取向正确，不得使用与政治、宗教相关等敏感内容。</w:t>
      </w:r>
    </w:p>
    <w:p w14:paraId="350277B7">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参赛作品应为参赛者原创作品，不得抄袭、盗用他人作品，不得侵犯他人著作权等相关权利，一经发现抄袭或其他侵权行为将取消参赛资格，并收回其所获获奖证书、荣誉称号等，由此产生的法律纠纷由参赛投稿人承担。</w:t>
      </w:r>
    </w:p>
    <w:p w14:paraId="3AB77675">
      <w:pPr>
        <w:spacing w:line="360" w:lineRule="auto"/>
        <w:ind w:firstLine="560" w:firstLineChars="200"/>
        <w:rPr>
          <w:color w:val="000000" w:themeColor="text1"/>
          <w:sz w:val="24"/>
          <w:szCs w:val="24"/>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4、获奖参赛作品，主办方（教研室）即拥有该参赛作品的全部宣传推广权。</w:t>
      </w:r>
    </w:p>
    <w:p w14:paraId="2B482B37">
      <w:pPr>
        <w:numPr>
          <w:ilvl w:val="0"/>
          <w:numId w:val="1"/>
        </w:numPr>
        <w:spacing w:line="360" w:lineRule="auto"/>
        <w:rPr>
          <w:b/>
          <w:bCs/>
          <w:sz w:val="28"/>
          <w:szCs w:val="28"/>
        </w:rPr>
      </w:pPr>
      <w:r>
        <w:rPr>
          <w:rFonts w:hint="eastAsia"/>
          <w:b/>
          <w:bCs/>
          <w:sz w:val="28"/>
          <w:szCs w:val="28"/>
        </w:rPr>
        <w:t>成绩评定</w:t>
      </w:r>
    </w:p>
    <w:p w14:paraId="282E5635">
      <w:pPr>
        <w:spacing w:line="360" w:lineRule="auto"/>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A组：以欧迪办公用品有限公司代表为主，进行红包方案的选定；</w:t>
      </w:r>
    </w:p>
    <w:p w14:paraId="3D75782F">
      <w:pPr>
        <w:spacing w:line="360" w:lineRule="auto"/>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B组：由产品艺术设计专业教师组成专业评选团队，进行评审，</w:t>
      </w:r>
    </w:p>
    <w:p w14:paraId="112249C0">
      <w:pPr>
        <w:spacing w:line="360" w:lineRule="auto"/>
        <w:ind w:firstLine="280" w:firstLineChars="100"/>
        <w:rPr>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在2023级、2024级分别评出一等奖（10%）、二等奖（20%）、三等奖（30%）</w:t>
      </w:r>
    </w:p>
    <w:p w14:paraId="692764CC">
      <w:pPr>
        <w:numPr>
          <w:ilvl w:val="0"/>
          <w:numId w:val="1"/>
        </w:numPr>
        <w:spacing w:line="360" w:lineRule="auto"/>
        <w:rPr>
          <w:b/>
          <w:bCs/>
          <w:sz w:val="28"/>
          <w:szCs w:val="28"/>
        </w:rPr>
      </w:pPr>
      <w:r>
        <w:rPr>
          <w:rFonts w:hint="eastAsia"/>
          <w:b/>
          <w:bCs/>
          <w:sz w:val="28"/>
          <w:szCs w:val="28"/>
        </w:rPr>
        <w:t>奖项设置</w:t>
      </w:r>
    </w:p>
    <w:p w14:paraId="2752E42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1、根据参赛人数或队数按照一等奖10%、二等奖20%、三等奖30%的比例确定获奖人员名单，由各教研室按照竞赛项目规程提交二级学院统一向大赛月组委会申请颁发校级技能大赛获奖证书。</w:t>
      </w:r>
    </w:p>
    <w:p w14:paraId="3207007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学生技能大赛，可按照“第二课堂学分管理办法”，根据参与情况，将成绩计入个人素质拓展学分，其中一等奖计1.5学分，二等奖、三等奖计1学分，参与者计0.5学分。参加多个项目的，学分可累加，但原则上素质拓展学分累计不超过3分。</w:t>
      </w:r>
    </w:p>
    <w:p w14:paraId="51AA72DB">
      <w:pPr>
        <w:spacing w:line="360" w:lineRule="auto"/>
        <w:ind w:firstLine="643" w:firstLineChars="200"/>
        <w:jc w:val="center"/>
        <w:rPr>
          <w:rFonts w:ascii="黑体" w:hAnsi="黑体" w:eastAsia="黑体" w:cs="黑体"/>
          <w:b/>
          <w:bCs/>
          <w:sz w:val="32"/>
          <w:szCs w:val="32"/>
        </w:rPr>
      </w:pPr>
    </w:p>
    <w:p w14:paraId="13052549">
      <w:pPr>
        <w:spacing w:line="360" w:lineRule="auto"/>
        <w:ind w:firstLine="643" w:firstLineChars="200"/>
        <w:jc w:val="center"/>
        <w:rPr>
          <w:rFonts w:ascii="黑体" w:hAnsi="黑体" w:eastAsia="黑体" w:cs="黑体"/>
          <w:b/>
          <w:bCs/>
          <w:sz w:val="32"/>
          <w:szCs w:val="32"/>
        </w:rPr>
      </w:pPr>
    </w:p>
    <w:p w14:paraId="4774204F">
      <w:pPr>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创意设计学院</w:t>
      </w:r>
    </w:p>
    <w:p w14:paraId="4D0858C8">
      <w:pPr>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产品艺术设计教学团队</w:t>
      </w:r>
    </w:p>
    <w:p w14:paraId="5442C194">
      <w:pPr>
        <w:spacing w:line="360" w:lineRule="auto"/>
        <w:ind w:firstLine="560" w:firstLineChars="200"/>
        <w:jc w:val="right"/>
        <w:rPr>
          <w:rFonts w:ascii="黑体" w:hAnsi="黑体" w:eastAsia="黑体" w:cs="黑体"/>
          <w:b/>
          <w:bCs/>
          <w:sz w:val="32"/>
          <w:szCs w:val="32"/>
        </w:rPr>
      </w:pPr>
      <w:r>
        <w:rPr>
          <w:rFonts w:hint="eastAsia" w:ascii="仿宋" w:hAnsi="仿宋" w:eastAsia="仿宋" w:cs="仿宋"/>
          <w:sz w:val="28"/>
          <w:szCs w:val="28"/>
        </w:rPr>
        <w:t>2025年5月8日</w:t>
      </w:r>
      <w:r>
        <w:rPr>
          <w:rFonts w:hint="eastAsia"/>
          <w:sz w:val="24"/>
          <w:szCs w:val="24"/>
        </w:rPr>
        <w:t xml:space="preserve"> </w:t>
      </w:r>
    </w:p>
    <w:p w14:paraId="010043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D301DE"/>
    <w:multiLevelType w:val="singleLevel"/>
    <w:tmpl w:val="7AD301D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30C"/>
    <w:rsid w:val="00210FC1"/>
    <w:rsid w:val="005F630C"/>
    <w:rsid w:val="006011CA"/>
    <w:rsid w:val="008146CA"/>
    <w:rsid w:val="00913D35"/>
    <w:rsid w:val="00970889"/>
    <w:rsid w:val="009A7E26"/>
    <w:rsid w:val="009B51B3"/>
    <w:rsid w:val="00D46786"/>
    <w:rsid w:val="00DD2543"/>
    <w:rsid w:val="00E537FC"/>
    <w:rsid w:val="00FE2266"/>
    <w:rsid w:val="38BF4662"/>
    <w:rsid w:val="620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4">
    <w:name w:val="Table Grid"/>
    <w:basedOn w:val="1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1330</Words>
  <Characters>1385</Characters>
  <Lines>10</Lines>
  <Paragraphs>2</Paragraphs>
  <TotalTime>9</TotalTime>
  <ScaleCrop>false</ScaleCrop>
  <LinksUpToDate>false</LinksUpToDate>
  <CharactersWithSpaces>1389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2025-05-20T06:24:00Z</dcterms:created>
  <dc:creator>xiaoxia xue</dc:creator>
  <cp:lastModifiedBy>武传奇</cp:lastModifiedBy>
  <dcterms:modified xsi:type="dcterms:W3CDTF">2025-05-20T08:43:37Z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eyJoZGlkIjoiOTQ4ZDZlOTgxNDZlMjJmZmFkNjRkMDE5YjcyNTk3YjUiLCJ1c2VySWQiOiIxNTU3MTE4MzExIn0=</vt:lpwstr>
  </property>
  <property fmtid="{D5CDD505-2E9C-101B-9397-08002B2CF9AE}" pid="3" name="KSOProductBuildVer">
    <vt:lpwstr>2052-12.1.0.20305</vt:lpwstr>
  </property>
  <property fmtid="{D5CDD505-2E9C-101B-9397-08002B2CF9AE}" pid="4" name="ICV">
    <vt:lpwstr>486EFB0329054B20B54CDCC6A490109A_12</vt:lpwstr>
  </property>
</Properties>
</file>